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2F7CB">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3</w:t>
      </w:r>
      <w:r>
        <w:rPr>
          <w:rFonts w:hint="default" w:ascii="Times New Roman" w:hAnsi="Times New Roman" w:eastAsia="仿宋" w:cs="Times New Roman"/>
          <w:sz w:val="36"/>
          <w:szCs w:val="30"/>
        </w:rPr>
        <w:t xml:space="preserve">   </w:t>
      </w:r>
      <w:r>
        <w:rPr>
          <w:rFonts w:eastAsia="仿宋"/>
          <w:sz w:val="36"/>
          <w:szCs w:val="30"/>
        </w:rPr>
        <w:t xml:space="preserve">         </w:t>
      </w:r>
    </w:p>
    <w:p w14:paraId="43658F42">
      <w:pPr>
        <w:keepNext w:val="0"/>
        <w:keepLines w:val="0"/>
        <w:pageBreakBefore w:val="0"/>
        <w:widowControl w:val="0"/>
        <w:kinsoku/>
        <w:wordWrap/>
        <w:overflowPunct/>
        <w:topLinePunct w:val="0"/>
        <w:autoSpaceDE/>
        <w:autoSpaceDN/>
        <w:bidi w:val="0"/>
        <w:adjustRightInd w:val="0"/>
        <w:snapToGrid w:val="0"/>
        <w:spacing w:before="469" w:beforeLines="150" w:after="313" w:afterLines="100" w:line="500" w:lineRule="exact"/>
        <w:jc w:val="center"/>
        <w:textAlignment w:val="auto"/>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bookmarkStart w:id="3" w:name="_GoBack"/>
      <w:bookmarkEnd w:id="3"/>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1165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C5470B1">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17AAFF06">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46D3BB5C">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24BE55DC">
            <w:pPr>
              <w:pageBreakBefore w:val="0"/>
              <w:kinsoku/>
              <w:wordWrap/>
              <w:overflowPunct/>
              <w:topLinePunct w:val="0"/>
              <w:bidi w:val="0"/>
              <w:snapToGrid/>
              <w:spacing w:after="0" w:line="300" w:lineRule="exact"/>
              <w:textAlignment w:val="auto"/>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003A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2ABF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1D4CE8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FDD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F6DB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02692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022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9214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4C24DB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3856B3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84275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3D0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7409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3EC98E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121417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3712D1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CEA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3616B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3E154F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288C8E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214E92E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AB9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9088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7D49992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35CE821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1336B6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9E7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BF3C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4E5574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3295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C2A2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36BD2A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12A1B2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3062EB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46AF11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21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4086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6D5083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775083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656733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90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0DDB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096475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6B20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BD109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11BEE6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1403590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241EA97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E26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D03F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276725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28CDA0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13397EB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E8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5463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4E5772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DA0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066D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F824E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027CC8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0C33C7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FCD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A4073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16D625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73E9D4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3AB2E2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A65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6E57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27069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532E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DF64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5F0F9E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246290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0D01C0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1CB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27CF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5F5A3C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5170B5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A95FB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D1F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4C32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3F11AB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5F8345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66DFB8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2CC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0334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C2239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4216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43E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3E4CC0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6D7B5C0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7CB187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127373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7861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81E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6E0792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FA1B5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69C6DB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2F5D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7205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7C1CDD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7BD87F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51B06C6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091A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A1FA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3B810F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122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DA48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489224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4138ECA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006FE0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5F6B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FB10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27AE78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5E1D77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0DE0FC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5D81F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0BC05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1CBCB3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3FEC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F39A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2198E9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0B19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3D09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570A35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35D1386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33BF48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55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767C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66380D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64D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BFF5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4B067F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03CA414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0DA42E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535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DCC7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7D38A7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59C4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F837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5061D3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2D677F6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2E3ED5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7CBD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ADAC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5BEA25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46A7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B8F1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480E06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6E1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8998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4E026F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5F3722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54A470F0">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053A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ECD6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45C7A61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5138548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39A6C0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178D15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37C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1BE4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15245D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2AE291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DED23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8B9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5EC7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552F1C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33A3BF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5A007A64">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069C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3FAF9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112E43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3F3B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2162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D7A20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15EDB5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4FCDB8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41B566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43EC7B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1C5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68E63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6486B6C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4AC61C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518BF305">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p>
        </w:tc>
      </w:tr>
      <w:tr w14:paraId="6DC8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2EC9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3A54F7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560D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03CF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0F88FA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78E5DA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F84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7BF7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481DB8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7E8ADDD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7E0A04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0CE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3A23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47E98B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226A98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5B7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11DAC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618BD7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740E13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4B9D59C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4F4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75F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452EAB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38F0E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8FF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4661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36EBB7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3B917E7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41340D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790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08C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0A6A2E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05F4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EBAF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16C7F5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5B97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343E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110CA3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B3A64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450051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6A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641B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0835D92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7D50D1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372DD29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D60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ECF3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03ED7E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5ADB59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3982B4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59E56F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E46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7D2C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311762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464B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8036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7644619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455848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5F4565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3BF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1CB8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05809F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43156F2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5F450A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D6A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BE99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51E66E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222F90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698A14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rPr>
            </w:pPr>
          </w:p>
        </w:tc>
      </w:tr>
      <w:tr w14:paraId="2FFE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989F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4787D1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83C1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680DD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146215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2BB125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388FDB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0A2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755E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FE948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6F94A2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EB27D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082C71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3EC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564B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505754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3831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0C1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B6EB4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53F900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26A871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F5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EF62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2F7ED46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75B6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505A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34DEE8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3F17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AE50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12B5C2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602211E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21E1D4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E5A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F0CA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4E50A2F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17D068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6F4EE0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4AD00D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061E03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8553D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506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4361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050E2B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4B5417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36DD5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2B3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8D52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2218BD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7C4D76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7133E0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1AF2F1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20C46A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07BF93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787190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DE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9DD6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6F49A7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54D44F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6A7CE0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F7C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4BE6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0C09C9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72621D7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0F3A1A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39F003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4D8627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96F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8E05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3CD81D1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7B8EAE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26D9BDB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3DC4D58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22A0DF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6D27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9224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6F59A7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7D70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D523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276007E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6F8D4EF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2B3FC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74C0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66C44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29AA0FA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2E02B64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16F27F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28EC4F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3E44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FD97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25B8F43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4D9F7C3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7B6D50B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4676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FFEE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07B27A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1DC9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1BC0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29887CB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649DC9B">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6D7259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1348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951FE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7187E3B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0CF72B7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58E6AEE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501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497AE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61A406D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1DEDC7D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641E082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szCs w:val="21"/>
              </w:rPr>
            </w:pPr>
          </w:p>
        </w:tc>
      </w:tr>
      <w:tr w14:paraId="212A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7A3FD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3E76C23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53B9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1F5C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04EDE9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65CF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DC9950">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2D8864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06B9B1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7DA792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7C42D6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363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85811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6884F2F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0E26E1E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00F070C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3045887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206C5B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B39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D0CC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116807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26AB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BC4025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0FF24A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393ACC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25CD5E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rPr>
            </w:pPr>
          </w:p>
        </w:tc>
      </w:tr>
      <w:tr w14:paraId="6150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576D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4E04D4E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E6576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2AD435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7DDD74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48B8E8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C85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AE81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4A12E5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7251DB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7CFF8A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1B2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17ED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33A132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6284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D176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26B746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A7F8E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53E417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455B5D3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E5AD0EF">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620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02E9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49DEC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1F5864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25C868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099953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315EC91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1C0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A9AD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39D3E1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21FD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3409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317B9C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6A157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30447B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F88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3FEE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F9273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762B9B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5FF239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27030D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4DE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5047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5D32D6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9D5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E7AA7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4412ED5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3F3423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45D3E9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3575D4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18FDB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4B89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D57C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015EEA37">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31440D8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E3D57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p>
        </w:tc>
      </w:tr>
      <w:tr w14:paraId="5DF9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48A8A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197FE3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31B4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269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07B46C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A34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3A81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205DD4D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6171635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6A7AED6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15177FB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0E7B1CF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565B377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1432831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266F577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5C0EE8D1">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70162B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6DE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017B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240C8E1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759C90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269252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0934060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5D7E099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8A3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E6BA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6B9F7F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6BD8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61D0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1FEDA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0E161F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489F28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20FA3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1E931F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79F212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69F6C8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729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893A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C2D7AD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337CEF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4F0D99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9F3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D2B1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4B20A7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424416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2F9DA7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FC6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630A8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660C8B4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514B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C516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062B50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5C736A6A">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45003B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CBE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BE8B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10B99B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5BE831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1433F32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1FC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774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w:t>
            </w:r>
          </w:p>
        </w:tc>
        <w:tc>
          <w:tcPr>
            <w:tcW w:w="14023" w:type="dxa"/>
            <w:gridSpan w:val="3"/>
            <w:tcMar>
              <w:left w:w="45" w:type="dxa"/>
              <w:right w:w="45" w:type="dxa"/>
            </w:tcMar>
            <w:vAlign w:val="center"/>
          </w:tcPr>
          <w:p w14:paraId="60F2AB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化学安全</w:t>
            </w:r>
          </w:p>
        </w:tc>
      </w:tr>
      <w:tr w14:paraId="6037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66E82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9.1</w:t>
            </w:r>
          </w:p>
        </w:tc>
        <w:tc>
          <w:tcPr>
            <w:tcW w:w="14023" w:type="dxa"/>
            <w:gridSpan w:val="3"/>
            <w:tcMar>
              <w:left w:w="45" w:type="dxa"/>
              <w:right w:w="45" w:type="dxa"/>
            </w:tcMar>
            <w:vAlign w:val="center"/>
          </w:tcPr>
          <w:p w14:paraId="32888C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危险化学品专用仓库</w:t>
            </w:r>
          </w:p>
        </w:tc>
      </w:tr>
      <w:tr w14:paraId="4511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F69A50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9.1.1</w:t>
            </w:r>
          </w:p>
        </w:tc>
        <w:tc>
          <w:tcPr>
            <w:tcW w:w="3703" w:type="dxa"/>
            <w:tcMar>
              <w:left w:w="45" w:type="dxa"/>
              <w:right w:w="45" w:type="dxa"/>
            </w:tcMar>
            <w:vAlign w:val="center"/>
          </w:tcPr>
          <w:p w14:paraId="6E74FC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应规范管理</w:t>
            </w:r>
          </w:p>
          <w:p w14:paraId="7B5384A0">
            <w:pPr>
              <w:pStyle w:val="2"/>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c>
          <w:tcPr>
            <w:tcW w:w="7777" w:type="dxa"/>
            <w:tcMar>
              <w:left w:w="45" w:type="dxa"/>
              <w:right w:w="45" w:type="dxa"/>
            </w:tcMar>
            <w:vAlign w:val="center"/>
          </w:tcPr>
          <w:p w14:paraId="2AABB0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（115）危险化学品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须有通风、隔热、避光、防盗、防爆、防静电、泄漏报警、应急喷淋、安全警示标识等措施，符合相关规定，专人管理。</w:t>
            </w:r>
          </w:p>
          <w:p w14:paraId="4A0696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（116）危险化学品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的消防</w:t>
            </w:r>
            <w:r>
              <w:rPr>
                <w:rFonts w:hint="default" w:ascii="Times New Roman" w:hAnsi="Times New Roman" w:eastAsia="仿宋_GB2312" w:cs="Times New Roman"/>
                <w:color w:val="auto"/>
                <w:szCs w:val="21"/>
              </w:rPr>
              <w:t>设施符合国家相关规定，正确配备灭火器材（如灭火器、灭火毯、砂箱、自动喷淋等）。</w:t>
            </w:r>
          </w:p>
          <w:p w14:paraId="402E50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（117）</w:t>
            </w:r>
            <w:r>
              <w:rPr>
                <w:rFonts w:hint="default" w:ascii="Times New Roman" w:hAnsi="Times New Roman" w:eastAsia="仿宋_GB2312" w:cs="Times New Roman"/>
                <w:color w:val="auto"/>
                <w:kern w:val="0"/>
                <w:szCs w:val="21"/>
              </w:rPr>
              <w:t>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不能建设在地下或半地下，不得建设在实验楼内。若只能在实验楼内存放，则应按照实验室的标准要求管理（见“9.3实验室化学品的存放”）。</w:t>
            </w:r>
          </w:p>
          <w:p w14:paraId="5DF955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（118）危险化学品</w:t>
            </w:r>
            <w:r>
              <w:rPr>
                <w:rFonts w:hint="default" w:ascii="Times New Roman" w:hAnsi="Times New Roman" w:eastAsia="仿宋_GB2312" w:cs="Times New Roman"/>
                <w:b/>
                <w:color w:val="auto"/>
                <w:kern w:val="0"/>
                <w:szCs w:val="21"/>
              </w:rPr>
              <w:t>专用仓库</w:t>
            </w:r>
            <w:r>
              <w:rPr>
                <w:rFonts w:hint="default" w:ascii="Times New Roman" w:hAnsi="Times New Roman" w:eastAsia="仿宋_GB2312" w:cs="Times New Roman"/>
                <w:color w:val="auto"/>
                <w:kern w:val="0"/>
                <w:szCs w:val="21"/>
              </w:rPr>
              <w:t>的试剂不混放，整箱试剂的叠加高度不大于1.5m</w:t>
            </w:r>
          </w:p>
        </w:tc>
        <w:tc>
          <w:tcPr>
            <w:tcW w:w="2543" w:type="dxa"/>
            <w:tcMar>
              <w:left w:w="45" w:type="dxa"/>
              <w:right w:w="45" w:type="dxa"/>
            </w:tcMar>
            <w:vAlign w:val="center"/>
          </w:tcPr>
          <w:p w14:paraId="079693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5C4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52A96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9.2</w:t>
            </w:r>
          </w:p>
        </w:tc>
        <w:tc>
          <w:tcPr>
            <w:tcW w:w="14023" w:type="dxa"/>
            <w:gridSpan w:val="3"/>
            <w:tcMar>
              <w:left w:w="45" w:type="dxa"/>
              <w:right w:w="45" w:type="dxa"/>
            </w:tcMar>
            <w:vAlign w:val="center"/>
          </w:tcPr>
          <w:p w14:paraId="1D1279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危险化学品购置</w:t>
            </w:r>
          </w:p>
        </w:tc>
      </w:tr>
      <w:tr w14:paraId="1576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A33D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9.2.1</w:t>
            </w:r>
          </w:p>
        </w:tc>
        <w:tc>
          <w:tcPr>
            <w:tcW w:w="3703" w:type="dxa"/>
            <w:tcMar>
              <w:left w:w="45" w:type="dxa"/>
              <w:right w:w="45" w:type="dxa"/>
            </w:tcMar>
            <w:vAlign w:val="center"/>
          </w:tcPr>
          <w:p w14:paraId="04CD6F1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危险化学品采购须符合要求</w:t>
            </w:r>
          </w:p>
        </w:tc>
        <w:tc>
          <w:tcPr>
            <w:tcW w:w="7777" w:type="dxa"/>
            <w:tcMar>
              <w:left w:w="45" w:type="dxa"/>
              <w:right w:w="45" w:type="dxa"/>
            </w:tcMar>
            <w:vAlign w:val="center"/>
          </w:tcPr>
          <w:p w14:paraId="383F4A0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627B1F84">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00E0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4F36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9.2.2</w:t>
            </w:r>
          </w:p>
        </w:tc>
        <w:tc>
          <w:tcPr>
            <w:tcW w:w="3703" w:type="dxa"/>
            <w:tcMar>
              <w:left w:w="45" w:type="dxa"/>
              <w:right w:w="45" w:type="dxa"/>
            </w:tcMar>
            <w:vAlign w:val="center"/>
          </w:tcPr>
          <w:p w14:paraId="7F7B21A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剧毒品、易制爆品、易制毒品、爆炸品的购买程序合规</w:t>
            </w:r>
          </w:p>
        </w:tc>
        <w:tc>
          <w:tcPr>
            <w:tcW w:w="7777" w:type="dxa"/>
            <w:tcMar>
              <w:left w:w="45" w:type="dxa"/>
              <w:right w:w="45" w:type="dxa"/>
            </w:tcMar>
            <w:vAlign w:val="center"/>
          </w:tcPr>
          <w:p w14:paraId="3CDA317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（120）购买前须经学校审批，报公安机关批准或备案后，向具有经营许可资质的单位购买，并保留报批及审批记录。</w:t>
            </w:r>
          </w:p>
          <w:p w14:paraId="3147BAA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（121）建立购买、验收、使用等台账资料。</w:t>
            </w:r>
          </w:p>
          <w:p w14:paraId="28B8C55E">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（122）不得私自从外单位获取管制类化学品，也不得给外单位或个人提供管制化学品</w:t>
            </w:r>
          </w:p>
        </w:tc>
        <w:tc>
          <w:tcPr>
            <w:tcW w:w="2543" w:type="dxa"/>
            <w:tcMar>
              <w:left w:w="45" w:type="dxa"/>
              <w:right w:w="45" w:type="dxa"/>
            </w:tcMar>
            <w:vAlign w:val="center"/>
          </w:tcPr>
          <w:p w14:paraId="77BF9B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F6B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27C4D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9.2.3</w:t>
            </w:r>
          </w:p>
        </w:tc>
        <w:tc>
          <w:tcPr>
            <w:tcW w:w="3703" w:type="dxa"/>
            <w:tcMar>
              <w:left w:w="45" w:type="dxa"/>
              <w:right w:w="45" w:type="dxa"/>
            </w:tcMar>
            <w:vAlign w:val="center"/>
          </w:tcPr>
          <w:p w14:paraId="17C1A901">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麻醉药品、精神药品等购买前须向食品药品监督管理部门申请</w:t>
            </w:r>
          </w:p>
        </w:tc>
        <w:tc>
          <w:tcPr>
            <w:tcW w:w="7777" w:type="dxa"/>
            <w:tcMar>
              <w:left w:w="45" w:type="dxa"/>
              <w:right w:w="45" w:type="dxa"/>
            </w:tcMar>
            <w:vAlign w:val="center"/>
          </w:tcPr>
          <w:p w14:paraId="78ECD905">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（123）报批同意后向定点供应商或者定点生产企业采购</w:t>
            </w:r>
          </w:p>
        </w:tc>
        <w:tc>
          <w:tcPr>
            <w:tcW w:w="2543" w:type="dxa"/>
            <w:tcMar>
              <w:left w:w="45" w:type="dxa"/>
              <w:right w:w="45" w:type="dxa"/>
            </w:tcMar>
            <w:vAlign w:val="center"/>
          </w:tcPr>
          <w:p w14:paraId="17963C5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43A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CF36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9.2.4</w:t>
            </w:r>
          </w:p>
        </w:tc>
        <w:tc>
          <w:tcPr>
            <w:tcW w:w="3703" w:type="dxa"/>
            <w:tcMar>
              <w:left w:w="45" w:type="dxa"/>
              <w:right w:w="45" w:type="dxa"/>
            </w:tcMar>
            <w:vAlign w:val="center"/>
          </w:tcPr>
          <w:p w14:paraId="542EC10D">
            <w:pPr>
              <w:pageBreakBefore w:val="0"/>
              <w:kinsoku/>
              <w:wordWrap/>
              <w:overflowPunct/>
              <w:topLinePunct w:val="0"/>
              <w:autoSpaceDE w:val="0"/>
              <w:autoSpaceDN w:val="0"/>
              <w:bidi w:val="0"/>
              <w:adjustRightInd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校内危险化学品的运输安全</w:t>
            </w:r>
          </w:p>
        </w:tc>
        <w:tc>
          <w:tcPr>
            <w:tcW w:w="7777" w:type="dxa"/>
            <w:tcMar>
              <w:left w:w="45" w:type="dxa"/>
              <w:right w:w="45" w:type="dxa"/>
            </w:tcMar>
            <w:vAlign w:val="center"/>
          </w:tcPr>
          <w:p w14:paraId="3167C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（124）现场抽查，校园内的运输车辆、运送人员、送货方式等符合相关规范</w:t>
            </w:r>
          </w:p>
        </w:tc>
        <w:tc>
          <w:tcPr>
            <w:tcW w:w="2543" w:type="dxa"/>
            <w:tcMar>
              <w:left w:w="45" w:type="dxa"/>
              <w:right w:w="45" w:type="dxa"/>
            </w:tcMar>
            <w:vAlign w:val="center"/>
          </w:tcPr>
          <w:p w14:paraId="56325AF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EA4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2FD2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9.3</w:t>
            </w:r>
          </w:p>
        </w:tc>
        <w:tc>
          <w:tcPr>
            <w:tcW w:w="14023" w:type="dxa"/>
            <w:gridSpan w:val="3"/>
            <w:tcMar>
              <w:left w:w="45" w:type="dxa"/>
              <w:right w:w="45" w:type="dxa"/>
            </w:tcMar>
            <w:vAlign w:val="center"/>
          </w:tcPr>
          <w:p w14:paraId="3114EC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实验室化学品存放</w:t>
            </w:r>
          </w:p>
        </w:tc>
      </w:tr>
      <w:tr w14:paraId="7629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B6D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9.3.1</w:t>
            </w:r>
          </w:p>
        </w:tc>
        <w:tc>
          <w:tcPr>
            <w:tcW w:w="3703" w:type="dxa"/>
            <w:tcMar>
              <w:left w:w="45" w:type="dxa"/>
              <w:right w:w="45" w:type="dxa"/>
            </w:tcMar>
            <w:vAlign w:val="center"/>
          </w:tcPr>
          <w:p w14:paraId="0346E3E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实验室内危险化学品建有动态台账</w:t>
            </w:r>
          </w:p>
        </w:tc>
        <w:tc>
          <w:tcPr>
            <w:tcW w:w="7777" w:type="dxa"/>
            <w:tcMar>
              <w:left w:w="45" w:type="dxa"/>
              <w:right w:w="45" w:type="dxa"/>
            </w:tcMar>
            <w:vAlign w:val="center"/>
          </w:tcPr>
          <w:p w14:paraId="7F19C5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（125）建立实验室危险化学品动态台账，并有危险化学品安全技术说明书（SDS）或安全周知卡，方便查阅。</w:t>
            </w:r>
          </w:p>
          <w:p w14:paraId="2E46CD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（126）定期清理废旧试剂，无累积现象</w:t>
            </w:r>
          </w:p>
        </w:tc>
        <w:tc>
          <w:tcPr>
            <w:tcW w:w="2543" w:type="dxa"/>
            <w:tcMar>
              <w:left w:w="45" w:type="dxa"/>
              <w:right w:w="45" w:type="dxa"/>
            </w:tcMar>
            <w:vAlign w:val="center"/>
          </w:tcPr>
          <w:p w14:paraId="37D9BD90">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Cs w:val="21"/>
              </w:rPr>
            </w:pPr>
          </w:p>
        </w:tc>
      </w:tr>
      <w:tr w14:paraId="63D8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365C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9.3.2</w:t>
            </w:r>
          </w:p>
        </w:tc>
        <w:tc>
          <w:tcPr>
            <w:tcW w:w="3703" w:type="dxa"/>
            <w:tcMar>
              <w:left w:w="45" w:type="dxa"/>
              <w:right w:w="45" w:type="dxa"/>
            </w:tcMar>
            <w:vAlign w:val="center"/>
          </w:tcPr>
          <w:p w14:paraId="01A833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化学品有专用存放空间并科学有序存放</w:t>
            </w:r>
          </w:p>
        </w:tc>
        <w:tc>
          <w:tcPr>
            <w:tcW w:w="7777" w:type="dxa"/>
            <w:tcMar>
              <w:left w:w="45" w:type="dxa"/>
              <w:right w:w="45" w:type="dxa"/>
            </w:tcMar>
            <w:vAlign w:val="center"/>
          </w:tcPr>
          <w:p w14:paraId="7471DDB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rPr>
              <w:t>（127）</w:t>
            </w:r>
            <w:r>
              <w:rPr>
                <w:rFonts w:hint="default" w:ascii="Times New Roman" w:hAnsi="Times New Roman" w:eastAsia="仿宋_GB2312" w:cs="Times New Roman"/>
                <w:b/>
                <w:bCs/>
                <w:color w:val="auto"/>
              </w:rPr>
              <w:t>危险化学品应当储存在专用储存室或储存专柜内，并由专人负责管理</w:t>
            </w:r>
            <w:r>
              <w:rPr>
                <w:rFonts w:hint="default" w:ascii="Times New Roman" w:hAnsi="Times New Roman" w:eastAsia="仿宋_GB2312" w:cs="Times New Roman"/>
                <w:b/>
                <w:bCs/>
                <w:color w:val="auto"/>
                <w:kern w:val="0"/>
              </w:rPr>
              <w:t>。</w:t>
            </w:r>
          </w:p>
          <w:p w14:paraId="2EC4615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（128）</w:t>
            </w:r>
            <w:r>
              <w:rPr>
                <w:rFonts w:hint="default" w:ascii="Times New Roman" w:hAnsi="Times New Roman" w:eastAsia="仿宋_GB2312" w:cs="Times New Roman"/>
                <w:color w:val="auto"/>
              </w:rPr>
              <w:t>储藏室、储藏区、储存柜等</w:t>
            </w:r>
            <w:r>
              <w:rPr>
                <w:rFonts w:hint="default" w:ascii="Times New Roman" w:hAnsi="Times New Roman" w:eastAsia="仿宋_GB2312" w:cs="Times New Roman"/>
                <w:bCs/>
                <w:color w:val="auto"/>
                <w:kern w:val="0"/>
              </w:rPr>
              <w:t>应</w:t>
            </w:r>
            <w:r>
              <w:rPr>
                <w:rFonts w:hint="default" w:ascii="Times New Roman" w:hAnsi="Times New Roman" w:eastAsia="仿宋_GB2312" w:cs="Times New Roman"/>
                <w:color w:val="auto"/>
                <w:kern w:val="0"/>
              </w:rPr>
              <w:t>通风、隔热、避免阳光直射，易泄漏、易挥发的试剂存放设备与地点应保证充足的通风。</w:t>
            </w:r>
          </w:p>
          <w:p w14:paraId="401E3D25">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（129）试剂柜中不能有电源插座或接线板。</w:t>
            </w:r>
          </w:p>
          <w:p w14:paraId="5BAE722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（130）化学品有序分类存放，固体、液体不混乱放置，互为禁忌的化学品不得混放，试剂不得叠放。有机溶剂储存区应远离热源和火源。装有试剂的试剂瓶不得开口放置。实验台架无挡板不得存放化学试剂。</w:t>
            </w:r>
          </w:p>
          <w:p w14:paraId="3A5BB4E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（131）配备必要的二次泄漏防护、吸附或防溢流功能</w:t>
            </w:r>
          </w:p>
        </w:tc>
        <w:tc>
          <w:tcPr>
            <w:tcW w:w="2543" w:type="dxa"/>
            <w:tcMar>
              <w:left w:w="45" w:type="dxa"/>
              <w:right w:w="45" w:type="dxa"/>
            </w:tcMar>
            <w:vAlign w:val="center"/>
          </w:tcPr>
          <w:p w14:paraId="3C7D1E3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A8F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28ECD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9.3.3</w:t>
            </w:r>
          </w:p>
        </w:tc>
        <w:tc>
          <w:tcPr>
            <w:tcW w:w="3703" w:type="dxa"/>
            <w:tcMar>
              <w:left w:w="45" w:type="dxa"/>
              <w:right w:w="45" w:type="dxa"/>
            </w:tcMar>
            <w:vAlign w:val="center"/>
          </w:tcPr>
          <w:p w14:paraId="5EEE56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实验室内存放的危险化学品总量符合规定要求</w:t>
            </w:r>
          </w:p>
        </w:tc>
        <w:tc>
          <w:tcPr>
            <w:tcW w:w="7777" w:type="dxa"/>
            <w:tcMar>
              <w:left w:w="45" w:type="dxa"/>
              <w:right w:w="45" w:type="dxa"/>
            </w:tcMar>
            <w:vAlign w:val="center"/>
          </w:tcPr>
          <w:p w14:paraId="3EF9C26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（132）</w:t>
            </w:r>
            <w:r>
              <w:rPr>
                <w:rFonts w:hint="default" w:ascii="Times New Roman" w:hAnsi="Times New Roman" w:eastAsia="仿宋_GB2312" w:cs="Times New Roman"/>
                <w:b/>
                <w:bCs/>
                <w:color w:val="auto"/>
                <w:kern w:val="0"/>
                <w:szCs w:val="21"/>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rPr>
              <w:t>。</w:t>
            </w:r>
          </w:p>
          <w:p w14:paraId="06385D1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7F5389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8DA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CF30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9.3.4</w:t>
            </w:r>
          </w:p>
        </w:tc>
        <w:tc>
          <w:tcPr>
            <w:tcW w:w="3703" w:type="dxa"/>
            <w:tcMar>
              <w:left w:w="45" w:type="dxa"/>
              <w:right w:w="45" w:type="dxa"/>
            </w:tcMar>
            <w:vAlign w:val="center"/>
          </w:tcPr>
          <w:p w14:paraId="575393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化学品标签应显著、完整、清晰</w:t>
            </w:r>
          </w:p>
        </w:tc>
        <w:tc>
          <w:tcPr>
            <w:tcW w:w="7777" w:type="dxa"/>
            <w:tcMar>
              <w:left w:w="45" w:type="dxa"/>
              <w:right w:w="45" w:type="dxa"/>
            </w:tcMar>
            <w:vAlign w:val="center"/>
          </w:tcPr>
          <w:p w14:paraId="507F8E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（134）化学品包装物上须有符合规定的化学品标签。</w:t>
            </w:r>
          </w:p>
          <w:p w14:paraId="6EBE951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rPr>
              <w:t>模糊、腐蚀</w:t>
            </w:r>
            <w:r>
              <w:rPr>
                <w:rFonts w:hint="default" w:ascii="Times New Roman" w:hAnsi="Times New Roman" w:eastAsia="仿宋_GB2312" w:cs="Times New Roman"/>
                <w:color w:val="auto"/>
                <w:kern w:val="0"/>
                <w:szCs w:val="21"/>
              </w:rPr>
              <w:t>后应及时补上，如不能确认，则按不明废弃化学品处置</w:t>
            </w:r>
          </w:p>
        </w:tc>
        <w:tc>
          <w:tcPr>
            <w:tcW w:w="2543" w:type="dxa"/>
            <w:tcMar>
              <w:left w:w="45" w:type="dxa"/>
              <w:right w:w="45" w:type="dxa"/>
            </w:tcMar>
            <w:vAlign w:val="center"/>
          </w:tcPr>
          <w:p w14:paraId="523145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61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4CDE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9.3.5</w:t>
            </w:r>
          </w:p>
        </w:tc>
        <w:tc>
          <w:tcPr>
            <w:tcW w:w="3703" w:type="dxa"/>
            <w:tcMar>
              <w:left w:w="45" w:type="dxa"/>
              <w:right w:w="45" w:type="dxa"/>
            </w:tcMar>
            <w:vAlign w:val="center"/>
          </w:tcPr>
          <w:p w14:paraId="0AE600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其他存放要求</w:t>
            </w:r>
          </w:p>
        </w:tc>
        <w:tc>
          <w:tcPr>
            <w:tcW w:w="7777" w:type="dxa"/>
            <w:tcMar>
              <w:left w:w="45" w:type="dxa"/>
              <w:right w:w="45" w:type="dxa"/>
            </w:tcMar>
            <w:vAlign w:val="center"/>
          </w:tcPr>
          <w:p w14:paraId="3D84C2C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（136）装有配制试剂、合成品、样品等的容器上标签信息明确，标签信息包括名称或编号、使用人、日期等。</w:t>
            </w:r>
          </w:p>
          <w:p w14:paraId="6A3F84CA">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（137）无使用饮料瓶存放试剂、样品的现象，如确需使用，必须撕去原包装纸，并贴试剂标签。</w:t>
            </w:r>
          </w:p>
          <w:p w14:paraId="049C6872">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（138）</w:t>
            </w:r>
            <w:r>
              <w:rPr>
                <w:rFonts w:hint="default" w:ascii="Times New Roman" w:hAnsi="Times New Roman" w:eastAsia="仿宋_GB2312" w:cs="Times New Roman"/>
                <w:color w:val="auto"/>
                <w:kern w:val="0"/>
                <w:szCs w:val="21"/>
              </w:rPr>
              <w:t>不使用破损量筒、试管、移液管等玻璃器皿</w:t>
            </w:r>
          </w:p>
        </w:tc>
        <w:tc>
          <w:tcPr>
            <w:tcW w:w="2543" w:type="dxa"/>
            <w:tcMar>
              <w:left w:w="45" w:type="dxa"/>
              <w:right w:w="45" w:type="dxa"/>
            </w:tcMar>
            <w:vAlign w:val="center"/>
          </w:tcPr>
          <w:p w14:paraId="749E22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800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3019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9.4</w:t>
            </w:r>
          </w:p>
        </w:tc>
        <w:tc>
          <w:tcPr>
            <w:tcW w:w="14023" w:type="dxa"/>
            <w:gridSpan w:val="3"/>
            <w:tcMar>
              <w:left w:w="45" w:type="dxa"/>
              <w:right w:w="45" w:type="dxa"/>
            </w:tcMar>
            <w:vAlign w:val="center"/>
          </w:tcPr>
          <w:p w14:paraId="38A331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实验操作安全</w:t>
            </w:r>
          </w:p>
        </w:tc>
      </w:tr>
      <w:tr w14:paraId="1402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6E06E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9.4.1</w:t>
            </w:r>
          </w:p>
        </w:tc>
        <w:tc>
          <w:tcPr>
            <w:tcW w:w="3703" w:type="dxa"/>
            <w:tcMar>
              <w:left w:w="45" w:type="dxa"/>
              <w:right w:w="45" w:type="dxa"/>
            </w:tcMar>
            <w:vAlign w:val="center"/>
          </w:tcPr>
          <w:p w14:paraId="1AB995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制定危险实验、危险化工工艺指导书、各类标准操作规程（SOP）、应急预案</w:t>
            </w:r>
          </w:p>
        </w:tc>
        <w:tc>
          <w:tcPr>
            <w:tcW w:w="7777" w:type="dxa"/>
            <w:tcMar>
              <w:left w:w="45" w:type="dxa"/>
              <w:right w:w="45" w:type="dxa"/>
            </w:tcMar>
            <w:vAlign w:val="center"/>
          </w:tcPr>
          <w:p w14:paraId="577C59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12A4CF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582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5EC5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9.4.2</w:t>
            </w:r>
          </w:p>
        </w:tc>
        <w:tc>
          <w:tcPr>
            <w:tcW w:w="3703" w:type="dxa"/>
            <w:tcMar>
              <w:left w:w="45" w:type="dxa"/>
              <w:right w:w="45" w:type="dxa"/>
            </w:tcMar>
            <w:vAlign w:val="center"/>
          </w:tcPr>
          <w:p w14:paraId="038125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特别关注危险化学工艺和装置</w:t>
            </w:r>
          </w:p>
        </w:tc>
        <w:tc>
          <w:tcPr>
            <w:tcW w:w="7777" w:type="dxa"/>
            <w:tcMar>
              <w:left w:w="45" w:type="dxa"/>
              <w:right w:w="45" w:type="dxa"/>
            </w:tcMar>
            <w:vAlign w:val="center"/>
          </w:tcPr>
          <w:p w14:paraId="751740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（140）</w:t>
            </w:r>
            <w:r>
              <w:rPr>
                <w:rFonts w:hint="default" w:ascii="Times New Roman" w:hAnsi="Times New Roman" w:eastAsia="仿宋_GB2312" w:cs="Times New Roman"/>
                <w:b/>
                <w:bCs/>
                <w:color w:val="auto"/>
                <w:kern w:val="0"/>
                <w:szCs w:val="21"/>
              </w:rPr>
              <w:t>涉及危险化工工艺、重点监管危险化学品的反应装置应设置自动化控制系统，锂电池研究区域应远离其他可燃物品。</w:t>
            </w:r>
          </w:p>
          <w:p w14:paraId="0E3CAFC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（141）涉及放热反应的危险化工工艺生产装置应设置双重电源供电或控制系统应配置不间断电源</w:t>
            </w:r>
          </w:p>
        </w:tc>
        <w:tc>
          <w:tcPr>
            <w:tcW w:w="2543" w:type="dxa"/>
            <w:tcMar>
              <w:left w:w="45" w:type="dxa"/>
              <w:right w:w="45" w:type="dxa"/>
            </w:tcMar>
            <w:vAlign w:val="center"/>
          </w:tcPr>
          <w:p w14:paraId="1DB56B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3C9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1C5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9.4.3</w:t>
            </w:r>
          </w:p>
        </w:tc>
        <w:tc>
          <w:tcPr>
            <w:tcW w:w="3703" w:type="dxa"/>
            <w:tcMar>
              <w:left w:w="45" w:type="dxa"/>
              <w:right w:w="45" w:type="dxa"/>
            </w:tcMar>
            <w:vAlign w:val="center"/>
          </w:tcPr>
          <w:p w14:paraId="178982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做好有毒有害废气的处理和防护</w:t>
            </w:r>
          </w:p>
        </w:tc>
        <w:tc>
          <w:tcPr>
            <w:tcW w:w="7777" w:type="dxa"/>
            <w:tcMar>
              <w:left w:w="45" w:type="dxa"/>
              <w:right w:w="45" w:type="dxa"/>
            </w:tcMar>
            <w:vAlign w:val="center"/>
          </w:tcPr>
          <w:p w14:paraId="3E7508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F46511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7ED4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1A5CE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9.5</w:t>
            </w:r>
          </w:p>
        </w:tc>
        <w:tc>
          <w:tcPr>
            <w:tcW w:w="14023" w:type="dxa"/>
            <w:gridSpan w:val="3"/>
            <w:tcMar>
              <w:left w:w="45" w:type="dxa"/>
              <w:right w:w="45" w:type="dxa"/>
            </w:tcMar>
            <w:vAlign w:val="center"/>
          </w:tcPr>
          <w:p w14:paraId="45E3BF9D">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kern w:val="0"/>
                <w:szCs w:val="21"/>
              </w:rPr>
              <w:t>管制类化学品管理</w:t>
            </w:r>
          </w:p>
        </w:tc>
      </w:tr>
      <w:tr w14:paraId="0386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C317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9.5.1</w:t>
            </w:r>
          </w:p>
        </w:tc>
        <w:tc>
          <w:tcPr>
            <w:tcW w:w="3703" w:type="dxa"/>
            <w:tcMar>
              <w:left w:w="45" w:type="dxa"/>
              <w:right w:w="45" w:type="dxa"/>
            </w:tcMar>
            <w:vAlign w:val="center"/>
          </w:tcPr>
          <w:p w14:paraId="79E92FC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剧毒化学品应当单独存放, 实行双人收发、 双人保管制度，技防措施符合管制要求</w:t>
            </w:r>
          </w:p>
          <w:p w14:paraId="063E81D6">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6FAF17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（143）单独存放，不得与易燃、易爆、腐蚀性物品等一起存放。</w:t>
            </w:r>
          </w:p>
          <w:p w14:paraId="3FCA3A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（144）有专人管理并做好贮存、领取、发放情况登记，登记资料至少保存3年。</w:t>
            </w:r>
          </w:p>
          <w:p w14:paraId="68D83756">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0"/>
                <w:szCs w:val="21"/>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285195F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668E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EC32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9.5.2</w:t>
            </w:r>
          </w:p>
        </w:tc>
        <w:tc>
          <w:tcPr>
            <w:tcW w:w="3703" w:type="dxa"/>
            <w:tcMar>
              <w:left w:w="45" w:type="dxa"/>
              <w:right w:w="45" w:type="dxa"/>
            </w:tcMar>
            <w:vAlign w:val="center"/>
          </w:tcPr>
          <w:p w14:paraId="2F916A0A">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易制毒化学品储存规范，台账清晰</w:t>
            </w:r>
          </w:p>
          <w:p w14:paraId="1CDA5A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0FFD90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（146）应设置专用存储区或者储存专柜并有防盗措施。</w:t>
            </w:r>
          </w:p>
          <w:p w14:paraId="08E7B2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（147）第一类易制毒化学品（含药品类易制毒化学品）实行双人双锁管理，账册保存期限不少于2年</w:t>
            </w:r>
          </w:p>
        </w:tc>
        <w:tc>
          <w:tcPr>
            <w:tcW w:w="2543" w:type="dxa"/>
            <w:tcMar>
              <w:left w:w="45" w:type="dxa"/>
              <w:right w:w="45" w:type="dxa"/>
            </w:tcMar>
            <w:vAlign w:val="center"/>
          </w:tcPr>
          <w:p w14:paraId="194165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C25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27CEB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9.5.3</w:t>
            </w:r>
          </w:p>
        </w:tc>
        <w:tc>
          <w:tcPr>
            <w:tcW w:w="3703" w:type="dxa"/>
            <w:tcMar>
              <w:left w:w="45" w:type="dxa"/>
              <w:right w:w="45" w:type="dxa"/>
            </w:tcMar>
            <w:vAlign w:val="center"/>
          </w:tcPr>
          <w:p w14:paraId="0835EB19">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易制爆化学品存量合规、双人双锁保管</w:t>
            </w:r>
          </w:p>
          <w:p w14:paraId="47F3FCD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4E94414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（148）</w:t>
            </w:r>
            <w:r>
              <w:rPr>
                <w:rFonts w:hint="default" w:ascii="Times New Roman" w:hAnsi="Times New Roman" w:eastAsia="仿宋_GB2312" w:cs="Times New Roman"/>
                <w:b/>
                <w:bCs/>
                <w:color w:val="auto"/>
                <w:kern w:val="0"/>
              </w:rPr>
              <w:t>易制爆化学品存量合规，单个储存室或者储存柜储存量不超过50kg</w:t>
            </w:r>
            <w:r>
              <w:rPr>
                <w:rFonts w:hint="default" w:ascii="Times New Roman" w:hAnsi="Times New Roman" w:eastAsia="仿宋_GB2312" w:cs="Times New Roman"/>
                <w:b/>
                <w:bCs/>
                <w:color w:val="auto"/>
                <w:kern w:val="0"/>
                <w:szCs w:val="21"/>
              </w:rPr>
              <w:t>。</w:t>
            </w:r>
          </w:p>
          <w:p w14:paraId="0613599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395E06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2B72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A3B5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9.5.4</w:t>
            </w:r>
          </w:p>
        </w:tc>
        <w:tc>
          <w:tcPr>
            <w:tcW w:w="3703" w:type="dxa"/>
            <w:tcMar>
              <w:left w:w="45" w:type="dxa"/>
              <w:right w:w="45" w:type="dxa"/>
            </w:tcMar>
            <w:vAlign w:val="center"/>
          </w:tcPr>
          <w:p w14:paraId="69C4ABE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麻醉药品和第一类精神药品管理符合“双人双锁”要求，有专用账册</w:t>
            </w:r>
          </w:p>
        </w:tc>
        <w:tc>
          <w:tcPr>
            <w:tcW w:w="7777" w:type="dxa"/>
            <w:tcMar>
              <w:left w:w="45" w:type="dxa"/>
              <w:right w:w="45" w:type="dxa"/>
            </w:tcMar>
            <w:vAlign w:val="center"/>
          </w:tcPr>
          <w:p w14:paraId="5262A4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（150）设立专库或者专柜储存，专库应当设有防盗设施并安装报警装置，专柜应当使用保险柜，专库和专柜应当实行双人双锁管理。</w:t>
            </w:r>
          </w:p>
          <w:p w14:paraId="2FF9FE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（151）配备专人管理并建立专用账册，专用账册的保存期限应当自药品有效期期满之日起不少于5年</w:t>
            </w:r>
          </w:p>
        </w:tc>
        <w:tc>
          <w:tcPr>
            <w:tcW w:w="2543" w:type="dxa"/>
            <w:tcMar>
              <w:left w:w="45" w:type="dxa"/>
              <w:right w:w="45" w:type="dxa"/>
            </w:tcMar>
            <w:vAlign w:val="center"/>
          </w:tcPr>
          <w:p w14:paraId="133F52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p>
        </w:tc>
      </w:tr>
      <w:tr w14:paraId="6F76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C781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9.5.5</w:t>
            </w:r>
          </w:p>
        </w:tc>
        <w:tc>
          <w:tcPr>
            <w:tcW w:w="3703" w:type="dxa"/>
            <w:tcMar>
              <w:left w:w="45" w:type="dxa"/>
              <w:right w:w="45" w:type="dxa"/>
            </w:tcMar>
            <w:vAlign w:val="center"/>
          </w:tcPr>
          <w:p w14:paraId="153DA634">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爆炸品单独隔离、限量存储，使用、销毁按照公安部门的要求执行</w:t>
            </w:r>
          </w:p>
        </w:tc>
        <w:tc>
          <w:tcPr>
            <w:tcW w:w="7777" w:type="dxa"/>
            <w:tcMar>
              <w:left w:w="45" w:type="dxa"/>
              <w:right w:w="45" w:type="dxa"/>
            </w:tcMar>
            <w:vAlign w:val="center"/>
          </w:tcPr>
          <w:p w14:paraId="2C98C0B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（152）收存和发放民用爆炸物品必须进行登记，做到账目清楚，账物相符</w:t>
            </w:r>
          </w:p>
        </w:tc>
        <w:tc>
          <w:tcPr>
            <w:tcW w:w="2543" w:type="dxa"/>
            <w:tcMar>
              <w:left w:w="45" w:type="dxa"/>
              <w:right w:w="45" w:type="dxa"/>
            </w:tcMar>
            <w:vAlign w:val="center"/>
          </w:tcPr>
          <w:p w14:paraId="572CED87">
            <w:pPr>
              <w:pageBreakBefore w:val="0"/>
              <w:widowControl/>
              <w:kinsoku/>
              <w:wordWrap/>
              <w:overflowPunct/>
              <w:topLinePunct w:val="0"/>
              <w:bidi w:val="0"/>
              <w:snapToGrid/>
              <w:spacing w:after="0" w:line="300" w:lineRule="exact"/>
              <w:jc w:val="left"/>
              <w:textAlignment w:val="auto"/>
              <w:rPr>
                <w:rFonts w:hint="default" w:ascii="Times New Roman" w:hAnsi="Times New Roman" w:eastAsia="仿宋_GB2312" w:cs="Times New Roman"/>
                <w:color w:val="auto"/>
                <w:kern w:val="0"/>
                <w:szCs w:val="21"/>
              </w:rPr>
            </w:pPr>
          </w:p>
        </w:tc>
      </w:tr>
      <w:tr w14:paraId="3F1F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55C3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bCs/>
                <w:color w:val="auto"/>
                <w:kern w:val="0"/>
                <w:szCs w:val="21"/>
              </w:rPr>
              <w:t>9.6</w:t>
            </w:r>
          </w:p>
        </w:tc>
        <w:tc>
          <w:tcPr>
            <w:tcW w:w="14023" w:type="dxa"/>
            <w:gridSpan w:val="3"/>
            <w:tcMar>
              <w:left w:w="45" w:type="dxa"/>
              <w:right w:w="45" w:type="dxa"/>
            </w:tcMar>
            <w:vAlign w:val="center"/>
          </w:tcPr>
          <w:p w14:paraId="2B6BAB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实验气体管理</w:t>
            </w:r>
          </w:p>
        </w:tc>
      </w:tr>
      <w:tr w14:paraId="6BFF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626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9.6.1</w:t>
            </w:r>
          </w:p>
        </w:tc>
        <w:tc>
          <w:tcPr>
            <w:tcW w:w="3703" w:type="dxa"/>
            <w:tcMar>
              <w:left w:w="45" w:type="dxa"/>
              <w:right w:w="45" w:type="dxa"/>
            </w:tcMar>
            <w:vAlign w:val="center"/>
          </w:tcPr>
          <w:p w14:paraId="26A52FA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从合格供应商处采购实验气体，建立气体（气瓶）台账</w:t>
            </w:r>
          </w:p>
        </w:tc>
        <w:tc>
          <w:tcPr>
            <w:tcW w:w="7777" w:type="dxa"/>
            <w:tcMar>
              <w:left w:w="45" w:type="dxa"/>
              <w:right w:w="45" w:type="dxa"/>
            </w:tcMar>
            <w:vAlign w:val="center"/>
          </w:tcPr>
          <w:p w14:paraId="7C1C87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（153）查看记录</w:t>
            </w:r>
          </w:p>
          <w:p w14:paraId="5F332F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c>
          <w:tcPr>
            <w:tcW w:w="2543" w:type="dxa"/>
            <w:tcMar>
              <w:left w:w="45" w:type="dxa"/>
              <w:right w:w="45" w:type="dxa"/>
            </w:tcMar>
            <w:vAlign w:val="center"/>
          </w:tcPr>
          <w:p w14:paraId="7B79D3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312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7BE5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9.6.2</w:t>
            </w:r>
          </w:p>
        </w:tc>
        <w:tc>
          <w:tcPr>
            <w:tcW w:w="3703" w:type="dxa"/>
            <w:tcMar>
              <w:left w:w="45" w:type="dxa"/>
              <w:right w:w="45" w:type="dxa"/>
            </w:tcMar>
            <w:vAlign w:val="center"/>
          </w:tcPr>
          <w:p w14:paraId="56B074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气体（气瓶）的存放和使用符合相关要求</w:t>
            </w:r>
          </w:p>
        </w:tc>
        <w:tc>
          <w:tcPr>
            <w:tcW w:w="7777" w:type="dxa"/>
            <w:tcMar>
              <w:left w:w="45" w:type="dxa"/>
              <w:right w:w="45" w:type="dxa"/>
            </w:tcMar>
            <w:vAlign w:val="center"/>
          </w:tcPr>
          <w:p w14:paraId="54BBAFDC">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（154）气体（气瓶）存放点须通风、远离热源、避免暴晒，地面平整干燥。</w:t>
            </w:r>
          </w:p>
          <w:p w14:paraId="387AE47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（155）气瓶应合理固定。</w:t>
            </w:r>
          </w:p>
          <w:p w14:paraId="48A5850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（156）危险气体气瓶尽量置于室外，室内放置应使用常时排风且带监测报警装置的气瓶柜。</w:t>
            </w:r>
          </w:p>
          <w:p w14:paraId="7BCD655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（157）气瓶的存放应控制在最小需求量。</w:t>
            </w:r>
          </w:p>
          <w:p w14:paraId="3D410DF4">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（158）</w:t>
            </w:r>
            <w:r>
              <w:rPr>
                <w:rFonts w:hint="default" w:ascii="Times New Roman" w:hAnsi="Times New Roman" w:eastAsia="仿宋_GB2312" w:cs="Times New Roman"/>
                <w:b/>
                <w:bCs/>
                <w:color w:val="auto"/>
                <w:kern w:val="0"/>
                <w:szCs w:val="21"/>
              </w:rPr>
              <w:t>涉及有毒、可燃气体的场所，配有通风设施和相应的气体监测和报警装置等，张贴必要的安全警示标志。</w:t>
            </w:r>
          </w:p>
          <w:p w14:paraId="1D6CA45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（159）可燃性气体与氧气等助燃气体气瓶不得混放。</w:t>
            </w:r>
          </w:p>
          <w:p w14:paraId="2049CB0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（160）独立的气体气瓶室应通风、不混放、有监控，有专人管理和记录。</w:t>
            </w:r>
          </w:p>
          <w:p w14:paraId="2978BA1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（161）有供应商提供的气瓶定期检验合格标识，无超过检验有效期的气瓶、无超过设计年限的气瓶。</w:t>
            </w:r>
          </w:p>
          <w:p w14:paraId="7E49B3A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（162）气瓶颜色符合GB/T 7144《气瓶颜色标志》的规定，确认“满”“使用中”“空瓶”三种状态。</w:t>
            </w:r>
          </w:p>
          <w:p w14:paraId="0B13326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（163）使用完毕，应及时关闭气瓶总阀。</w:t>
            </w:r>
          </w:p>
          <w:p w14:paraId="65BD94A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（164）气瓶附件齐全</w:t>
            </w:r>
          </w:p>
        </w:tc>
        <w:tc>
          <w:tcPr>
            <w:tcW w:w="2543" w:type="dxa"/>
            <w:tcMar>
              <w:left w:w="45" w:type="dxa"/>
              <w:right w:w="45" w:type="dxa"/>
            </w:tcMar>
            <w:vAlign w:val="center"/>
          </w:tcPr>
          <w:p w14:paraId="2B9835D6">
            <w:pPr>
              <w:pageBreakBefore w:val="0"/>
              <w:kinsoku/>
              <w:wordWrap/>
              <w:overflowPunct/>
              <w:topLinePunct w:val="0"/>
              <w:bidi w:val="0"/>
              <w:snapToGrid/>
              <w:spacing w:after="0"/>
              <w:textAlignment w:val="auto"/>
              <w:rPr>
                <w:rFonts w:hint="default" w:ascii="Times New Roman" w:hAnsi="Times New Roman" w:eastAsia="仿宋_GB2312" w:cs="Times New Roman"/>
                <w:color w:val="auto"/>
              </w:rPr>
            </w:pPr>
          </w:p>
        </w:tc>
      </w:tr>
      <w:tr w14:paraId="2A3A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2912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9.6.3</w:t>
            </w:r>
          </w:p>
        </w:tc>
        <w:tc>
          <w:tcPr>
            <w:tcW w:w="3703" w:type="dxa"/>
            <w:tcMar>
              <w:left w:w="45" w:type="dxa"/>
              <w:right w:w="45" w:type="dxa"/>
            </w:tcMar>
            <w:vAlign w:val="center"/>
          </w:tcPr>
          <w:p w14:paraId="1FBCD21F">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在较小密封空间使用可引起窒息的气体，须安装氧含量监测</w:t>
            </w:r>
            <w:r>
              <w:rPr>
                <w:rFonts w:hint="default" w:ascii="Times New Roman" w:hAnsi="Times New Roman" w:eastAsia="仿宋_GB2312" w:cs="Times New Roman"/>
                <w:color w:val="auto"/>
                <w:kern w:val="0"/>
                <w:szCs w:val="21"/>
              </w:rPr>
              <w:t>报警装置</w:t>
            </w:r>
          </w:p>
        </w:tc>
        <w:tc>
          <w:tcPr>
            <w:tcW w:w="7777" w:type="dxa"/>
            <w:tcMar>
              <w:left w:w="45" w:type="dxa"/>
              <w:right w:w="45" w:type="dxa"/>
            </w:tcMar>
            <w:vAlign w:val="center"/>
          </w:tcPr>
          <w:p w14:paraId="03FED3D8">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（165）在存有大量无毒窒息性压缩气体或液化气体（液氮、液氩）的较小密闭空间，为</w:t>
            </w:r>
            <w:r>
              <w:rPr>
                <w:rFonts w:hint="default" w:ascii="Times New Roman" w:hAnsi="Times New Roman" w:eastAsia="仿宋_GB2312" w:cs="Times New Roman"/>
                <w:bCs/>
                <w:color w:val="auto"/>
                <w:kern w:val="0"/>
                <w:szCs w:val="21"/>
              </w:rPr>
              <w:t>防止气体大量泄漏或蒸发导致缺氧，</w:t>
            </w:r>
            <w:r>
              <w:rPr>
                <w:rFonts w:hint="default" w:ascii="Times New Roman" w:hAnsi="Times New Roman" w:eastAsia="仿宋_GB2312" w:cs="Times New Roman"/>
                <w:color w:val="auto"/>
                <w:szCs w:val="21"/>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，层高2.6m时的临界面积为30 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；实验室存放10L体积液氮（液态密度0.808 g·mL</w:t>
            </w:r>
            <w:r>
              <w:rPr>
                <w:rFonts w:hint="default" w:ascii="Times New Roman" w:hAnsi="Times New Roman" w:eastAsia="仿宋_GB2312" w:cs="Times New Roman"/>
                <w:color w:val="auto"/>
                <w:szCs w:val="21"/>
                <w:vertAlign w:val="superscript"/>
              </w:rPr>
              <w:t>–1</w:t>
            </w:r>
            <w:r>
              <w:rPr>
                <w:rFonts w:hint="default" w:ascii="Times New Roman" w:hAnsi="Times New Roman" w:eastAsia="仿宋_GB2312" w:cs="Times New Roman"/>
                <w:color w:val="auto"/>
                <w:szCs w:val="21"/>
              </w:rPr>
              <w:t>），实验室层高2.8m时的临界面积为30m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，层高2.6m时的临界面积为35 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323405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960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DEF7B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9.6.4</w:t>
            </w:r>
          </w:p>
        </w:tc>
        <w:tc>
          <w:tcPr>
            <w:tcW w:w="3703" w:type="dxa"/>
            <w:tcMar>
              <w:left w:w="45" w:type="dxa"/>
              <w:right w:w="45" w:type="dxa"/>
            </w:tcMar>
            <w:vAlign w:val="center"/>
          </w:tcPr>
          <w:p w14:paraId="79B85E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气体管路和气瓶连接正确、有清晰的标识</w:t>
            </w:r>
          </w:p>
        </w:tc>
        <w:tc>
          <w:tcPr>
            <w:tcW w:w="7777" w:type="dxa"/>
            <w:tcMar>
              <w:left w:w="45" w:type="dxa"/>
              <w:right w:w="45" w:type="dxa"/>
            </w:tcMar>
            <w:vAlign w:val="center"/>
          </w:tcPr>
          <w:p w14:paraId="04E17347">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7C3D89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31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ACA06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9.7</w:t>
            </w:r>
          </w:p>
        </w:tc>
        <w:tc>
          <w:tcPr>
            <w:tcW w:w="14023" w:type="dxa"/>
            <w:gridSpan w:val="3"/>
            <w:tcMar>
              <w:left w:w="45" w:type="dxa"/>
              <w:right w:w="45" w:type="dxa"/>
            </w:tcMar>
            <w:vAlign w:val="center"/>
          </w:tcPr>
          <w:p w14:paraId="4317B05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实验室化学废弃物的收集、分类和转运</w:t>
            </w:r>
          </w:p>
        </w:tc>
      </w:tr>
      <w:tr w14:paraId="33DD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0AB6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9.7.1</w:t>
            </w:r>
          </w:p>
        </w:tc>
        <w:tc>
          <w:tcPr>
            <w:tcW w:w="3703" w:type="dxa"/>
            <w:tcMar>
              <w:left w:w="45" w:type="dxa"/>
              <w:right w:w="45" w:type="dxa"/>
            </w:tcMar>
            <w:vAlign w:val="center"/>
          </w:tcPr>
          <w:p w14:paraId="74B2AB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实验室应设立化学废弃物暂存区</w:t>
            </w:r>
          </w:p>
        </w:tc>
        <w:tc>
          <w:tcPr>
            <w:tcW w:w="7777" w:type="dxa"/>
            <w:tcMar>
              <w:left w:w="45" w:type="dxa"/>
              <w:right w:w="45" w:type="dxa"/>
            </w:tcMar>
            <w:vAlign w:val="center"/>
          </w:tcPr>
          <w:p w14:paraId="20093A3D">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（167）暂存区应远离火源、热源和不相容物质，避免日晒、雨淋，存放两种及以上不相容的实验室危险废物时，应分不同区域。</w:t>
            </w:r>
          </w:p>
          <w:p w14:paraId="1E1F0B5B">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（168）暂存区应有警示标志并有防遗洒、防渗漏设施或措施</w:t>
            </w:r>
          </w:p>
        </w:tc>
        <w:tc>
          <w:tcPr>
            <w:tcW w:w="2543" w:type="dxa"/>
            <w:tcMar>
              <w:left w:w="45" w:type="dxa"/>
              <w:right w:w="45" w:type="dxa"/>
            </w:tcMar>
            <w:vAlign w:val="center"/>
          </w:tcPr>
          <w:p w14:paraId="53FB97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5AF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3900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9.7.2</w:t>
            </w:r>
          </w:p>
        </w:tc>
        <w:tc>
          <w:tcPr>
            <w:tcW w:w="3703" w:type="dxa"/>
            <w:tcMar>
              <w:left w:w="45" w:type="dxa"/>
              <w:right w:w="45" w:type="dxa"/>
            </w:tcMar>
            <w:vAlign w:val="center"/>
          </w:tcPr>
          <w:p w14:paraId="01249B2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实验室内须规范收集化学废弃物</w:t>
            </w:r>
          </w:p>
        </w:tc>
        <w:tc>
          <w:tcPr>
            <w:tcW w:w="7777" w:type="dxa"/>
            <w:tcMar>
              <w:left w:w="45" w:type="dxa"/>
              <w:right w:w="45" w:type="dxa"/>
            </w:tcMar>
            <w:vAlign w:val="center"/>
          </w:tcPr>
          <w:p w14:paraId="2E8C1CB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（169）危险废物应按化学特性和危险特性，进行分类收集和暂存，通常条件下不稳定物质必须稳定化处理后才能进入危废处理流程。</w:t>
            </w:r>
          </w:p>
          <w:p w14:paraId="6F7D51B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（170）废弃的化学试剂应存放在原试剂瓶中，保留原标签，且瓶口朝上放入专用固废箱中。</w:t>
            </w:r>
          </w:p>
          <w:p w14:paraId="0B2AE70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（171）针头等利器须放入利器盒中收集。</w:t>
            </w:r>
          </w:p>
          <w:p w14:paraId="202A8903">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（172）废液应分类装入专用废液桶中，液面不超过容量的3/4。废液桶须满足耐腐蚀、抗溶剂、耐挤压、抗冲击的要求。</w:t>
            </w:r>
          </w:p>
          <w:p w14:paraId="5C978E24">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（173）实验室危险废物收集容器上应粘贴危险废物信息标签、警示标识。</w:t>
            </w:r>
          </w:p>
          <w:p w14:paraId="3FCB9B9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（174）严禁将实验室危险废物直接排入下水道，严禁与生活垃圾、感染性废物或放射性废物等混装</w:t>
            </w:r>
          </w:p>
        </w:tc>
        <w:tc>
          <w:tcPr>
            <w:tcW w:w="2543" w:type="dxa"/>
            <w:tcMar>
              <w:left w:w="45" w:type="dxa"/>
              <w:right w:w="45" w:type="dxa"/>
            </w:tcMar>
            <w:vAlign w:val="center"/>
          </w:tcPr>
          <w:p w14:paraId="256ACE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75BB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DF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9.7.3</w:t>
            </w:r>
          </w:p>
        </w:tc>
        <w:tc>
          <w:tcPr>
            <w:tcW w:w="3703" w:type="dxa"/>
            <w:tcMar>
              <w:left w:w="45" w:type="dxa"/>
              <w:right w:w="45" w:type="dxa"/>
            </w:tcMar>
            <w:vAlign w:val="center"/>
          </w:tcPr>
          <w:p w14:paraId="1ACB7E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学校应建设化学废弃物贮存站并规范管理</w:t>
            </w:r>
          </w:p>
        </w:tc>
        <w:tc>
          <w:tcPr>
            <w:tcW w:w="7777" w:type="dxa"/>
            <w:tcMar>
              <w:left w:w="45" w:type="dxa"/>
              <w:right w:w="45" w:type="dxa"/>
            </w:tcMar>
            <w:vAlign w:val="center"/>
          </w:tcPr>
          <w:p w14:paraId="1CEDB2A8">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vertAlign w:val="superscript"/>
              </w:rPr>
              <w:t>2</w:t>
            </w:r>
            <w:r>
              <w:rPr>
                <w:rFonts w:hint="default" w:ascii="Times New Roman" w:hAnsi="Times New Roman" w:eastAsia="仿宋_GB2312" w:cs="Times New Roman"/>
                <w:color w:val="auto"/>
                <w:kern w:val="0"/>
                <w:szCs w:val="21"/>
              </w:rPr>
              <w:t>、高应不大于3m（尺寸误差应不大于10%），并在通风口处设置防火阀，公称动作温度为70</w:t>
            </w:r>
            <w:r>
              <w:rPr>
                <w:rFonts w:hint="default" w:ascii="Times New Roman" w:hAnsi="Times New Roman" w:eastAsia="仿宋_GB2312" w:cs="Times New Roman"/>
                <w:color w:val="auto"/>
                <w:sz w:val="24"/>
              </w:rPr>
              <w:t>°C</w:t>
            </w:r>
            <w:r>
              <w:rPr>
                <w:rFonts w:hint="default" w:ascii="Times New Roman" w:hAnsi="Times New Roman" w:eastAsia="仿宋_GB2312" w:cs="Times New Roman"/>
                <w:color w:val="auto"/>
                <w:kern w:val="0"/>
                <w:szCs w:val="21"/>
              </w:rPr>
              <w:t>。</w:t>
            </w:r>
          </w:p>
          <w:p w14:paraId="62421380">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（176）贮存站应有具体的管理办法并将贮存站安全运行、实验室危险废物出站转运等日常管理工作落实到相关人员的岗位职责中。</w:t>
            </w:r>
          </w:p>
          <w:p w14:paraId="51716782">
            <w:pPr>
              <w:pageBreakBefore w:val="0"/>
              <w:widowControl/>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（177）制定意外事故的防范措施和应急预案</w:t>
            </w:r>
            <w:r>
              <w:rPr>
                <w:rFonts w:hint="default" w:ascii="Times New Roman" w:hAnsi="Times New Roman" w:eastAsia="仿宋_GB2312" w:cs="Times New Roman"/>
                <w:color w:val="auto"/>
                <w:kern w:val="0"/>
                <w:szCs w:val="21"/>
              </w:rPr>
              <w:t>，并向所在地生态环境主管部门</w:t>
            </w:r>
            <w:r>
              <w:rPr>
                <w:rFonts w:hint="default" w:ascii="Times New Roman" w:hAnsi="Times New Roman" w:eastAsia="仿宋_GB2312" w:cs="Times New Roman"/>
                <w:bCs/>
                <w:color w:val="auto"/>
                <w:kern w:val="0"/>
                <w:szCs w:val="21"/>
              </w:rPr>
              <w:t>备案</w:t>
            </w:r>
          </w:p>
        </w:tc>
        <w:tc>
          <w:tcPr>
            <w:tcW w:w="2543" w:type="dxa"/>
            <w:tcMar>
              <w:left w:w="45" w:type="dxa"/>
              <w:right w:w="45" w:type="dxa"/>
            </w:tcMar>
            <w:vAlign w:val="center"/>
          </w:tcPr>
          <w:p w14:paraId="4AD8308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86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7E7C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9.7.4</w:t>
            </w:r>
          </w:p>
        </w:tc>
        <w:tc>
          <w:tcPr>
            <w:tcW w:w="3703" w:type="dxa"/>
            <w:tcMar>
              <w:left w:w="45" w:type="dxa"/>
              <w:right w:w="45" w:type="dxa"/>
            </w:tcMar>
            <w:vAlign w:val="center"/>
          </w:tcPr>
          <w:p w14:paraId="46CC4E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化学废弃物的转运须合规</w:t>
            </w:r>
          </w:p>
        </w:tc>
        <w:tc>
          <w:tcPr>
            <w:tcW w:w="7777" w:type="dxa"/>
            <w:tcMar>
              <w:left w:w="45" w:type="dxa"/>
              <w:right w:w="45" w:type="dxa"/>
            </w:tcMar>
            <w:vAlign w:val="center"/>
          </w:tcPr>
          <w:p w14:paraId="6BA454F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（178）委托有危险废物处置资质的专业厂家集中处置化学废弃物，并查看协议。</w:t>
            </w:r>
          </w:p>
          <w:p w14:paraId="180088F1">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（179）</w:t>
            </w:r>
            <w:r>
              <w:rPr>
                <w:rFonts w:hint="default" w:ascii="Times New Roman" w:hAnsi="Times New Roman" w:eastAsia="仿宋_GB2312" w:cs="Times New Roman"/>
                <w:bCs/>
                <w:color w:val="auto"/>
                <w:kern w:val="0"/>
                <w:szCs w:val="21"/>
              </w:rPr>
              <w:t>建立危险废物管理台账</w:t>
            </w:r>
            <w:r>
              <w:rPr>
                <w:rFonts w:hint="default" w:ascii="Times New Roman" w:hAnsi="Times New Roman" w:eastAsia="仿宋_GB2312" w:cs="Times New Roman"/>
                <w:color w:val="auto"/>
                <w:kern w:val="0"/>
                <w:szCs w:val="21"/>
              </w:rPr>
              <w:t>，如实记录有关信息，包括种类、产生量、流向、贮存、处置等有关资料。</w:t>
            </w:r>
          </w:p>
          <w:p w14:paraId="72F380D7">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（180）校外转运之前，贮存站必须妥善管理实验室危险废物，采取有效措施，防止废物的扬散、流失、渗漏或造成其他环境污染。</w:t>
            </w:r>
          </w:p>
          <w:p w14:paraId="692DD6DF">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（181）转运人员应使用专用运输工具，运输前根据运输废物的危险特性，应携带必要的应急物资和个体防护用具，如收集工具、手套、口罩等。</w:t>
            </w:r>
          </w:p>
          <w:p w14:paraId="2FBF1319">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53DB111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033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C27AD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675545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2AEC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1BF95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7B69F4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325E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8CC8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493E26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3A9414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029504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170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4A05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049A75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178546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CC893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5464AF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F68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25A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5342DD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3BD6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6A1A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540864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78A3B1DE">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7D71A973">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4116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649404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6E1A5A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1AB45F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5E18A8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6673CC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C9876D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59761A7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78BE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AF7B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410689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020E0D9F">
            <w:pPr>
              <w:pageBreakBefore w:val="0"/>
              <w:widowControl/>
              <w:kinsoku/>
              <w:wordWrap/>
              <w:overflowPunct/>
              <w:topLinePunct w:val="0"/>
              <w:bidi w:val="0"/>
              <w:snapToGrid/>
              <w:spacing w:after="0" w:line="300" w:lineRule="exact"/>
              <w:textAlignment w:val="auto"/>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6FBCBCE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508A3A44">
            <w:pPr>
              <w:pStyle w:val="6"/>
              <w:pageBreakBefore w:val="0"/>
              <w:kinsoku/>
              <w:wordWrap/>
              <w:overflowPunct/>
              <w:topLinePunct w:val="0"/>
              <w:bidi w:val="0"/>
              <w:snapToGrid/>
              <w:spacing w:after="0"/>
              <w:jc w:val="both"/>
              <w:textAlignment w:val="auto"/>
              <w:rPr>
                <w:rFonts w:hint="default" w:ascii="Times New Roman" w:hAnsi="Times New Roman" w:eastAsia="仿宋_GB2312" w:cs="Times New Roman"/>
                <w:color w:val="auto"/>
              </w:rPr>
            </w:pPr>
          </w:p>
        </w:tc>
      </w:tr>
      <w:tr w14:paraId="550D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692E2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5A06A6C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1C83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6C8A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696706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5ACBE8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591CE2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7D7AD6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4477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84A6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B3722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7412FA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6C2F47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B17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A0880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05098B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72F0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7A183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5EAEAD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1DC915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5C4E622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84A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78B7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312AE6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3A8430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8F40BC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C49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B2AF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2DDEF4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0DBD4D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68FBA9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C5B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30550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495F3C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5E1EA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B3A8F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78113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2B5FCA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2747F43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19D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69A4C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7062A0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14616C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4516C78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50E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0BA7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0D1491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5E282D18">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5AF168D6">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6409A77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5A366059">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Cs/>
                <w:color w:val="auto"/>
                <w:kern w:val="0"/>
              </w:rPr>
            </w:pPr>
          </w:p>
        </w:tc>
      </w:tr>
      <w:tr w14:paraId="51F2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5A56F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07915A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7B2A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5ED7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7DB5D22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117F588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745228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00B079E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058F24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B13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664B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3DA9C2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5B273C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22B6FE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61BD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CD84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5A23E6F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5470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2D05B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137C445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468B43F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26BCFBFE">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097AC64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DF3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21CB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7822906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6809A3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2842E17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264ABE6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107666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354B171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04813EC3">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75EF4BE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rPr>
            </w:pPr>
          </w:p>
        </w:tc>
      </w:tr>
      <w:tr w14:paraId="15C5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0F369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700D262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4C1F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933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43ED8DD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1074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AEF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5590513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3FA4FD7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1F81BF1B">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color w:val="auto"/>
                <w:sz w:val="24"/>
              </w:rPr>
            </w:pPr>
          </w:p>
        </w:tc>
      </w:tr>
      <w:tr w14:paraId="3C3F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7B372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137850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0C024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2FC1289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371211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C027287">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7E72B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F9F89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3F3207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6EE957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74FEF822">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23F0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765B97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7DEC1FA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B4E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44E9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1EF1B33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363A3D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587E91C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2A6DD9E">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66EA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48150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32F0409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28338FE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430E187F">
            <w:pPr>
              <w:pageBreakBefore w:val="0"/>
              <w:kinsoku/>
              <w:wordWrap/>
              <w:overflowPunct/>
              <w:topLinePunct w:val="0"/>
              <w:bidi w:val="0"/>
              <w:snapToGrid/>
              <w:spacing w:after="0" w:line="360" w:lineRule="auto"/>
              <w:textAlignment w:val="auto"/>
              <w:rPr>
                <w:rFonts w:hint="default" w:ascii="Times New Roman" w:hAnsi="Times New Roman" w:eastAsia="仿宋_GB2312" w:cs="Times New Roman"/>
                <w:bCs/>
                <w:color w:val="auto"/>
                <w:kern w:val="0"/>
                <w:szCs w:val="21"/>
              </w:rPr>
            </w:pPr>
          </w:p>
        </w:tc>
      </w:tr>
      <w:tr w14:paraId="6B15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152AFF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68E373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114892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A4F1B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317A6D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235E60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BF4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1B62DA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51C181D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611B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AD947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67CEDE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7464E00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F1AB54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6955306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A25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D194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663F466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5D4849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611A42B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600475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780308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4B5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E1495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3ED109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B023D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7B4656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09D65C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6881340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35F4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7584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AEA905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0951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08E6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425B0CA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B11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AD123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0EB264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51994D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46481D9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1A35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92A59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6DD3E5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2562CA7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7255EC0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2C0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0E7BEB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1D8B71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6A3935C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2A262C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27A7F17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3DF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C8780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0FCD0CFC">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1FF7038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05FFC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6D1AFD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D59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619BA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2D63A51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7FC6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0B931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76E35D1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12A3350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29D9198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4B8DA32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F5A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F404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31AB30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4D3BC17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7A8FA750">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8CB323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1B9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AC28C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285202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29E3D03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348B2B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72A9531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6988AE2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27962D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47766C3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072A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DE9773">
            <w:pPr>
              <w:pageBreakBefore w:val="0"/>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6968E92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5DEB810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78F7D46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33CE44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4606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FC642F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BED7B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7180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341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660907A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0E31493D">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05DEBA44">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7D71AC95">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2F107809">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EB80817">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79F30E88">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42B78DB0">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0D3DFF8C">
            <w:pPr>
              <w:pageBreakBefore w:val="0"/>
              <w:widowControl/>
              <w:tabs>
                <w:tab w:val="left" w:pos="4321"/>
              </w:tabs>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284C75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8D7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0AE5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0C3CAB5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66D7C2F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74C1DF4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2F0F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9CF9F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74B63EF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551C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5259A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5AADE5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0C22AB8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43AC4E8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6AB4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8DE7B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1D0CF4D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176D0D4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30F68B6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8DF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D889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1A6E61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46ADADB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0B7B96F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45AE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492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76ED649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3232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48D24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1802E93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02CDAFA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698046B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683F357C">
            <w:pPr>
              <w:pStyle w:val="55"/>
              <w:pageBreakBefore w:val="0"/>
              <w:kinsoku/>
              <w:wordWrap/>
              <w:overflowPunct/>
              <w:topLinePunct w:val="0"/>
              <w:bidi w:val="0"/>
              <w:snapToGrid/>
              <w:spacing w:after="0" w:line="360" w:lineRule="auto"/>
              <w:ind w:firstLine="0" w:firstLineChars="0"/>
              <w:textAlignment w:val="auto"/>
              <w:rPr>
                <w:rFonts w:hint="default" w:ascii="Times New Roman" w:hAnsi="Times New Roman" w:eastAsia="仿宋_GB2312" w:cs="Times New Roman"/>
                <w:b/>
                <w:bCs/>
                <w:color w:val="auto"/>
                <w:kern w:val="0"/>
              </w:rPr>
            </w:pPr>
          </w:p>
        </w:tc>
      </w:tr>
      <w:tr w14:paraId="0A5A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7D3D1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621C9BC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1A99723C">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1C17703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76E7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138F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E3C4F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705ABF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665F0949">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3D76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C44FF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212C396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2E09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858B7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11703C4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39EE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8203F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664A96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30EAAE8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185980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p>
        </w:tc>
      </w:tr>
      <w:tr w14:paraId="3600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E8EDE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22BEC81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699F30C7">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69CAE78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2DF0A89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981C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FBE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72E25D4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42F0789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3A8B894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093D7AA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35E810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25560EC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69E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F845A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1AEA513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5109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963AC19">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1553812E">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39A5C25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43EC1516">
            <w:pPr>
              <w:pageBreakBefore w:val="0"/>
              <w:widowControl/>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F31820B">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2461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F0CD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2ABDB895">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7F6DA79C">
            <w:pPr>
              <w:pageBreakBefore w:val="0"/>
              <w:widowControl/>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78794E8">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5C5E89AF">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4CFB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1C5BA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436EFC22">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3F555FB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F70FBC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5AF7556A">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571A6139">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1EDD8B8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655FEC65">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72B2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FA17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086A0813">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052B457D">
            <w:pPr>
              <w:pageBreakBefore w:val="0"/>
              <w:kinsoku/>
              <w:wordWrap/>
              <w:overflowPunct/>
              <w:topLinePunct w:val="0"/>
              <w:bidi w:val="0"/>
              <w:snapToGrid/>
              <w:spacing w:after="0"/>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49F967F9">
            <w:pPr>
              <w:pageBreakBefore w:val="0"/>
              <w:kinsoku/>
              <w:wordWrap/>
              <w:overflowPunct/>
              <w:topLinePunct w:val="0"/>
              <w:bidi w:val="0"/>
              <w:snapToGrid/>
              <w:spacing w:after="0"/>
              <w:textAlignment w:val="auto"/>
              <w:rPr>
                <w:rFonts w:hint="default" w:ascii="Times New Roman" w:hAnsi="Times New Roman" w:eastAsia="仿宋_GB2312" w:cs="Times New Roman"/>
                <w:bCs/>
                <w:color w:val="auto"/>
                <w:kern w:val="0"/>
                <w:szCs w:val="21"/>
              </w:rPr>
            </w:pPr>
          </w:p>
        </w:tc>
      </w:tr>
      <w:tr w14:paraId="1F1F7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4929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2F6840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4D66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3A31E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28F15E2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0760DE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79ED70F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593B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4B9AD6">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6B0776E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2494B07F">
            <w:pPr>
              <w:pageBreakBefore w:val="0"/>
              <w:kinsoku/>
              <w:wordWrap/>
              <w:overflowPunct/>
              <w:topLinePunct w:val="0"/>
              <w:bidi w:val="0"/>
              <w:snapToGrid/>
              <w:spacing w:after="0"/>
              <w:textAlignment w:val="auto"/>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44F8CA5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0175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03E608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231B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0E4EBD7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471AA90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CCE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0CCCD2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3895C14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73E7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F3421CF">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3233845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6B6935C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316A954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618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9D83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12EE8D1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199365C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67543DB2">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5C4E490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10F5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627A1B1">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66FF7CC4">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5F4B028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0E0C849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5B58A8B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52DB366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3F10780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bCs/>
                <w:color w:val="auto"/>
                <w:kern w:val="0"/>
                <w:szCs w:val="21"/>
              </w:rPr>
            </w:pPr>
          </w:p>
        </w:tc>
      </w:tr>
      <w:tr w14:paraId="2B51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8CC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3988D66B">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2C0B668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1305A1AC">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4412ABE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4F68DBB5">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14668387">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149C123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7835F448">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r w14:paraId="645D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2E7F7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EE4515E">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53BA0E7A">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647C5F10">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2507D50D">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B355F5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31A91043">
            <w:pPr>
              <w:pageBreakBefore w:val="0"/>
              <w:widowControl/>
              <w:kinsoku/>
              <w:wordWrap/>
              <w:overflowPunct/>
              <w:topLinePunct w:val="0"/>
              <w:bidi w:val="0"/>
              <w:snapToGrid/>
              <w:spacing w:after="0" w:line="300" w:lineRule="exact"/>
              <w:textAlignment w:val="auto"/>
              <w:rPr>
                <w:rFonts w:hint="default" w:ascii="Times New Roman" w:hAnsi="Times New Roman" w:eastAsia="仿宋_GB2312" w:cs="Times New Roman"/>
                <w:color w:val="auto"/>
                <w:kern w:val="0"/>
                <w:szCs w:val="21"/>
              </w:rPr>
            </w:pPr>
          </w:p>
        </w:tc>
      </w:tr>
    </w:tbl>
    <w:p w14:paraId="1FCE7C49">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7FBD7C14">
      <w:pPr>
        <w:adjustRightInd w:val="0"/>
        <w:snapToGrid w:val="0"/>
        <w:spacing w:before="156" w:beforeLines="50"/>
        <w:rPr>
          <w:rFonts w:eastAsia="仿宋"/>
        </w:rPr>
      </w:pPr>
    </w:p>
    <w:sectPr>
      <w:footerReference r:id="rId5" w:type="default"/>
      <w:pgSz w:w="16838" w:h="11906" w:orient="landscape"/>
      <w:pgMar w:top="1247" w:right="1587" w:bottom="1077" w:left="1588" w:header="851" w:footer="794" w:gutter="0"/>
      <w:pgNumType w:fmt="decimal" w:start="18"/>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3F419B-A9C4-4327-878C-1579D2115B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8E6FAB1-989A-4FE0-8CBE-31348DDE670D}"/>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A2E7C8FB-3263-4097-B390-7B40A41C6A15}"/>
  </w:font>
  <w:font w:name="方正小标宋简体">
    <w:panose1 w:val="02000000000000000000"/>
    <w:charset w:val="86"/>
    <w:family w:val="script"/>
    <w:pitch w:val="default"/>
    <w:sig w:usb0="00000001" w:usb1="08000000" w:usb2="00000000" w:usb3="00000000" w:csb0="00040000" w:csb1="00000000"/>
    <w:embedRegular r:id="rId4" w:fontKey="{E8081736-4F66-498B-A050-7B1A31420B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6EE2">
    <w:pPr>
      <w:pStyle w:val="13"/>
      <w:jc w:val="cente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0DF5B">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B0DF5B">
                    <w:pPr>
                      <w:pStyle w:val="13"/>
                      <w:keepNext w:val="0"/>
                      <w:keepLines w:val="0"/>
                      <w:pageBreakBefore w:val="0"/>
                      <w:widowControl w:val="0"/>
                      <w:kinsoku/>
                      <w:wordWrap/>
                      <w:overflowPunct/>
                      <w:topLinePunct w:val="0"/>
                      <w:autoSpaceDE/>
                      <w:autoSpaceDN/>
                      <w:bidi w:val="0"/>
                      <w:adjustRightInd/>
                      <w:snapToGrid w:val="0"/>
                      <w:spacing w:after="0" w:line="240" w:lineRule="auto"/>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4A30B28"/>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662A1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17486</Words>
  <Characters>19058</Characters>
  <Lines>146</Lines>
  <Paragraphs>41</Paragraphs>
  <TotalTime>293</TotalTime>
  <ScaleCrop>false</ScaleCrop>
  <LinksUpToDate>false</LinksUpToDate>
  <CharactersWithSpaces>19119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2026-03-25T07:51:00Z</dcterms:created>
  <dc:creator>kongjian</dc:creator>
  <cp:lastModifiedBy>朱宇</cp:lastModifiedBy>
  <cp:lastPrinted>2023-03-09T22:50:00Z</cp:lastPrinted>
  <dcterms:modified xsi:type="dcterms:W3CDTF">2026-05-12T03:30:52Z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064312D7CC776B68E829E7694BA35923</vt:lpwstr>
  </property>
  <property fmtid="{D5CDD505-2E9C-101B-9397-08002B2CF9AE}" pid="4" name="KSOTemplateDocerSaveRecord">
    <vt:lpwstr>eyJoZGlkIjoiYjFiOTBkZWQwN2I0NjVkYWI5MmFmM2Q0MGY1MThkZGIiLCJ1c2VySWQiOiIxNjU2NDM0NDI5In0=</vt:lpwstr>
  </property>
</Properties>
</file>